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903" w:rsidRDefault="00D60903" w:rsidP="00D60903">
      <w:pPr>
        <w:spacing w:after="0" w:line="240" w:lineRule="auto"/>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pPr>
      <w:r w:rsidRPr="008E180F">
        <w:rPr>
          <w:rFonts w:asciiTheme="majorHAnsi" w:hAnsiTheme="majorHAnsi" w:cstheme="majorHAnsi"/>
          <w:b/>
          <w:noProof/>
        </w:rPr>
        <w:drawing>
          <wp:anchor distT="0" distB="0" distL="114300" distR="114300" simplePos="0" relativeHeight="251659264" behindDoc="1" locked="0" layoutInCell="1" allowOverlap="1" wp14:anchorId="3A6B18EE" wp14:editId="39A83A6D">
            <wp:simplePos x="0" y="0"/>
            <wp:positionH relativeFrom="column">
              <wp:posOffset>5092552</wp:posOffset>
            </wp:positionH>
            <wp:positionV relativeFrom="paragraph">
              <wp:posOffset>369</wp:posOffset>
            </wp:positionV>
            <wp:extent cx="917575" cy="897890"/>
            <wp:effectExtent l="0" t="0" r="0" b="0"/>
            <wp:wrapTight wrapText="bothSides">
              <wp:wrapPolygon edited="0">
                <wp:start x="0" y="0"/>
                <wp:lineTo x="0" y="21081"/>
                <wp:lineTo x="21077" y="21081"/>
                <wp:lineTo x="21077"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7575" cy="897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5342">
        <w:rPr>
          <w:rFonts w:ascii="Segoe UI" w:hAnsi="Segoe UI" w:cs="Segoe UI"/>
          <w:noProof/>
          <w:color w:val="FFFFFF" w:themeColor="background1"/>
          <w:sz w:val="28"/>
          <w:szCs w:val="28"/>
        </w:rPr>
        <w:drawing>
          <wp:anchor distT="0" distB="0" distL="114300" distR="114300" simplePos="0" relativeHeight="251660288" behindDoc="1" locked="0" layoutInCell="1" allowOverlap="1" wp14:anchorId="523EF0A8" wp14:editId="53A34A6D">
            <wp:simplePos x="0" y="0"/>
            <wp:positionH relativeFrom="page">
              <wp:posOffset>0</wp:posOffset>
            </wp:positionH>
            <wp:positionV relativeFrom="paragraph">
              <wp:posOffset>115097</wp:posOffset>
            </wp:positionV>
            <wp:extent cx="5947880" cy="595423"/>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7880" cy="595423"/>
                    </a:xfrm>
                    <a:prstGeom prst="rect">
                      <a:avLst/>
                    </a:prstGeom>
                  </pic:spPr>
                </pic:pic>
              </a:graphicData>
            </a:graphic>
            <wp14:sizeRelH relativeFrom="margin">
              <wp14:pctWidth>0</wp14:pctWidth>
            </wp14:sizeRelH>
            <wp14:sizeRelV relativeFrom="margin">
              <wp14:pctHeight>0</wp14:pctHeight>
            </wp14:sizeRelV>
          </wp:anchor>
        </w:drawing>
      </w:r>
    </w:p>
    <w:p w:rsidR="00D60903" w:rsidRDefault="00D60903" w:rsidP="00D60903">
      <w:pPr>
        <w:spacing w:after="0" w:line="240" w:lineRule="auto"/>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pPr>
      <w:r>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t>Quick Guide to the MSWGP Sample Pilot Dataset</w:t>
      </w:r>
    </w:p>
    <w:p w:rsidR="00D60903" w:rsidRDefault="00D60903" w:rsidP="00D60903">
      <w:pPr>
        <w:spacing w:after="0" w:line="240" w:lineRule="auto"/>
        <w:rPr>
          <w:b/>
          <w:color w:val="7030A0"/>
          <w:sz w:val="32"/>
          <w:szCs w:val="32"/>
        </w:rPr>
      </w:pPr>
    </w:p>
    <w:p w:rsidR="00D60903" w:rsidRDefault="00D60903" w:rsidP="00D60903">
      <w:pPr>
        <w:spacing w:after="0" w:line="240" w:lineRule="auto"/>
        <w:rPr>
          <w:b/>
          <w:color w:val="7030A0"/>
        </w:rPr>
      </w:pPr>
    </w:p>
    <w:p w:rsidR="00D60903" w:rsidRPr="00363BBC" w:rsidRDefault="00A24615" w:rsidP="00D60903">
      <w:pPr>
        <w:spacing w:after="0" w:line="240" w:lineRule="auto"/>
        <w:rPr>
          <w:b/>
          <w:color w:val="7030A0"/>
        </w:rPr>
      </w:pPr>
      <w:r w:rsidRPr="00363BBC">
        <w:rPr>
          <w:b/>
          <w:color w:val="7030A0"/>
        </w:rPr>
        <w:t xml:space="preserve">The MSWGP </w:t>
      </w:r>
      <w:r w:rsidR="00D60903" w:rsidRPr="00363BBC">
        <w:rPr>
          <w:b/>
          <w:color w:val="7030A0"/>
        </w:rPr>
        <w:t>Sample Pilot Dataset</w:t>
      </w:r>
    </w:p>
    <w:p w:rsidR="00D60903" w:rsidRPr="00363BBC" w:rsidRDefault="00D60903" w:rsidP="00D60903">
      <w:pPr>
        <w:spacing w:after="0" w:line="240" w:lineRule="auto"/>
        <w:rPr>
          <w:rFonts w:asciiTheme="majorHAnsi" w:hAnsiTheme="majorHAnsi" w:cstheme="majorHAnsi"/>
        </w:rPr>
      </w:pPr>
      <w:r w:rsidRPr="00363BBC">
        <w:rPr>
          <w:rFonts w:asciiTheme="majorHAnsi" w:hAnsiTheme="majorHAnsi" w:cstheme="majorHAnsi"/>
        </w:rPr>
        <w:t xml:space="preserve">To facilitate the stakeholder review of the draft standard, a sample pilot dataset was prepared for two ‘storm-shed’ </w:t>
      </w:r>
      <w:r w:rsidR="001F2A68" w:rsidRPr="00363BBC">
        <w:rPr>
          <w:rFonts w:asciiTheme="majorHAnsi" w:hAnsiTheme="majorHAnsi" w:cstheme="majorHAnsi"/>
        </w:rPr>
        <w:t xml:space="preserve">drainage </w:t>
      </w:r>
      <w:r w:rsidRPr="00363BBC">
        <w:rPr>
          <w:rFonts w:asciiTheme="majorHAnsi" w:hAnsiTheme="majorHAnsi" w:cstheme="majorHAnsi"/>
        </w:rPr>
        <w:t xml:space="preserve">areas in </w:t>
      </w:r>
      <w:r w:rsidR="001F2A68" w:rsidRPr="00363BBC">
        <w:rPr>
          <w:rFonts w:asciiTheme="majorHAnsi" w:hAnsiTheme="majorHAnsi" w:cstheme="majorHAnsi"/>
        </w:rPr>
        <w:t xml:space="preserve">the cities of </w:t>
      </w:r>
      <w:r w:rsidRPr="00363BBC">
        <w:rPr>
          <w:rFonts w:asciiTheme="majorHAnsi" w:hAnsiTheme="majorHAnsi" w:cstheme="majorHAnsi"/>
        </w:rPr>
        <w:t>Bloomington and Eagan covering approximately 5.8 square miles</w:t>
      </w:r>
      <w:r w:rsidR="001F2A68" w:rsidRPr="00363BBC">
        <w:rPr>
          <w:rFonts w:asciiTheme="majorHAnsi" w:hAnsiTheme="majorHAnsi" w:cstheme="majorHAnsi"/>
        </w:rPr>
        <w:t xml:space="preserve"> along the Minnesota River.</w:t>
      </w:r>
      <w:r w:rsidRPr="00363BBC">
        <w:rPr>
          <w:rFonts w:asciiTheme="majorHAnsi" w:hAnsiTheme="majorHAnsi" w:cstheme="majorHAnsi"/>
        </w:rPr>
        <w:t xml:space="preserve"> This dataset provides a </w:t>
      </w:r>
      <w:r w:rsidR="00363BBC" w:rsidRPr="00363BBC">
        <w:rPr>
          <w:rFonts w:asciiTheme="majorHAnsi" w:hAnsiTheme="majorHAnsi" w:cstheme="majorHAnsi"/>
        </w:rPr>
        <w:t xml:space="preserve">modest </w:t>
      </w:r>
      <w:r w:rsidRPr="00363BBC">
        <w:rPr>
          <w:rFonts w:asciiTheme="majorHAnsi" w:hAnsiTheme="majorHAnsi" w:cstheme="majorHAnsi"/>
        </w:rPr>
        <w:t xml:space="preserve">representative sample of what </w:t>
      </w:r>
      <w:r w:rsidR="001F2A68" w:rsidRPr="00363BBC">
        <w:rPr>
          <w:rFonts w:asciiTheme="majorHAnsi" w:hAnsiTheme="majorHAnsi" w:cstheme="majorHAnsi"/>
        </w:rPr>
        <w:t xml:space="preserve">geospatial </w:t>
      </w:r>
      <w:r w:rsidRPr="00363BBC">
        <w:rPr>
          <w:rFonts w:asciiTheme="majorHAnsi" w:hAnsiTheme="majorHAnsi" w:cstheme="majorHAnsi"/>
        </w:rPr>
        <w:t xml:space="preserve">data </w:t>
      </w:r>
      <w:r w:rsidR="001F2A68" w:rsidRPr="00363BBC">
        <w:rPr>
          <w:rFonts w:asciiTheme="majorHAnsi" w:hAnsiTheme="majorHAnsi" w:cstheme="majorHAnsi"/>
        </w:rPr>
        <w:t xml:space="preserve">representing stormwater infrastructure </w:t>
      </w:r>
      <w:r w:rsidRPr="00363BBC">
        <w:rPr>
          <w:rFonts w:asciiTheme="majorHAnsi" w:hAnsiTheme="majorHAnsi" w:cstheme="majorHAnsi"/>
        </w:rPr>
        <w:t xml:space="preserve">in the draft standard would look like. </w:t>
      </w:r>
      <w:r w:rsidR="001F2A68" w:rsidRPr="00363BBC">
        <w:rPr>
          <w:rFonts w:asciiTheme="majorHAnsi" w:hAnsiTheme="majorHAnsi" w:cstheme="majorHAnsi"/>
        </w:rPr>
        <w:t>The</w:t>
      </w:r>
      <w:r w:rsidRPr="00363BBC">
        <w:rPr>
          <w:rFonts w:asciiTheme="majorHAnsi" w:hAnsiTheme="majorHAnsi" w:cstheme="majorHAnsi"/>
        </w:rPr>
        <w:t xml:space="preserve"> MSWGP Steering Team</w:t>
      </w:r>
      <w:r w:rsidR="001F2A68" w:rsidRPr="00363BBC">
        <w:rPr>
          <w:rFonts w:asciiTheme="majorHAnsi" w:hAnsiTheme="majorHAnsi" w:cstheme="majorHAnsi"/>
        </w:rPr>
        <w:t xml:space="preserve"> hopes</w:t>
      </w:r>
      <w:r w:rsidRPr="00363BBC">
        <w:rPr>
          <w:rFonts w:asciiTheme="majorHAnsi" w:hAnsiTheme="majorHAnsi" w:cstheme="majorHAnsi"/>
        </w:rPr>
        <w:t xml:space="preserve"> that this sample data is useful for the statewide stakeholder community to</w:t>
      </w:r>
      <w:r w:rsidR="001F2A68" w:rsidRPr="00363BBC">
        <w:rPr>
          <w:rFonts w:asciiTheme="majorHAnsi" w:hAnsiTheme="majorHAnsi" w:cstheme="majorHAnsi"/>
        </w:rPr>
        <w:t xml:space="preserve"> enhance their ability to review and comment on the proposed draft </w:t>
      </w:r>
      <w:r w:rsidR="00363BBC" w:rsidRPr="00363BBC">
        <w:rPr>
          <w:rFonts w:asciiTheme="majorHAnsi" w:hAnsiTheme="majorHAnsi" w:cstheme="majorHAnsi"/>
        </w:rPr>
        <w:t>Stormwater Geodata Transfer S</w:t>
      </w:r>
      <w:r w:rsidR="001F2A68" w:rsidRPr="00363BBC">
        <w:rPr>
          <w:rFonts w:asciiTheme="majorHAnsi" w:hAnsiTheme="majorHAnsi" w:cstheme="majorHAnsi"/>
        </w:rPr>
        <w:t>tandard.</w:t>
      </w:r>
    </w:p>
    <w:p w:rsidR="00D60903" w:rsidRPr="00363BBC" w:rsidRDefault="00D60903" w:rsidP="00D60903">
      <w:pPr>
        <w:spacing w:after="0" w:line="240" w:lineRule="auto"/>
        <w:rPr>
          <w:rFonts w:asciiTheme="majorHAnsi" w:hAnsiTheme="majorHAnsi" w:cstheme="majorHAnsi"/>
        </w:rPr>
      </w:pPr>
    </w:p>
    <w:p w:rsidR="00D60903" w:rsidRPr="00363BBC" w:rsidRDefault="00D60903" w:rsidP="00D60903">
      <w:pPr>
        <w:spacing w:after="0" w:line="240" w:lineRule="auto"/>
        <w:rPr>
          <w:b/>
          <w:color w:val="7030A0"/>
        </w:rPr>
      </w:pPr>
      <w:r w:rsidRPr="00363BBC">
        <w:rPr>
          <w:b/>
          <w:color w:val="7030A0"/>
        </w:rPr>
        <w:t>Caveats about the Sample Pilot Dataset</w:t>
      </w:r>
    </w:p>
    <w:p w:rsidR="00D60903" w:rsidRDefault="00DC77E1" w:rsidP="00D60903">
      <w:pPr>
        <w:spacing w:after="0" w:line="240" w:lineRule="auto"/>
        <w:rPr>
          <w:rFonts w:asciiTheme="majorHAnsi" w:hAnsiTheme="majorHAnsi" w:cstheme="majorHAnsi"/>
        </w:rPr>
      </w:pPr>
      <w:r w:rsidRPr="00363BBC">
        <w:rPr>
          <w:rFonts w:asciiTheme="majorHAnsi" w:hAnsiTheme="majorHAnsi" w:cstheme="majorHAnsi"/>
        </w:rPr>
        <w:t>Most of the features intended to be represented by the draft standard are available in the dataset</w:t>
      </w:r>
      <w:r w:rsidR="001F2A68" w:rsidRPr="00363BBC">
        <w:rPr>
          <w:rFonts w:asciiTheme="majorHAnsi" w:hAnsiTheme="majorHAnsi" w:cstheme="majorHAnsi"/>
        </w:rPr>
        <w:t xml:space="preserve">, </w:t>
      </w:r>
      <w:r w:rsidR="00363BBC" w:rsidRPr="00363BBC">
        <w:rPr>
          <w:rFonts w:asciiTheme="majorHAnsi" w:hAnsiTheme="majorHAnsi" w:cstheme="majorHAnsi"/>
        </w:rPr>
        <w:t>except for</w:t>
      </w:r>
      <w:r w:rsidRPr="00363BBC">
        <w:rPr>
          <w:rFonts w:asciiTheme="majorHAnsi" w:hAnsiTheme="majorHAnsi" w:cstheme="majorHAnsi"/>
        </w:rPr>
        <w:t xml:space="preserve"> </w:t>
      </w:r>
      <w:r w:rsidRPr="00363BBC">
        <w:rPr>
          <w:rFonts w:cstheme="minorHAnsi"/>
          <w:b/>
          <w:color w:val="00B050"/>
        </w:rPr>
        <w:t>Pollution Control Structures</w:t>
      </w:r>
      <w:r w:rsidRPr="00363BBC">
        <w:rPr>
          <w:rFonts w:asciiTheme="majorHAnsi" w:hAnsiTheme="majorHAnsi" w:cstheme="majorHAnsi"/>
          <w:color w:val="00B050"/>
        </w:rPr>
        <w:t xml:space="preserve"> </w:t>
      </w:r>
      <w:r w:rsidRPr="00363BBC">
        <w:rPr>
          <w:rFonts w:asciiTheme="majorHAnsi" w:hAnsiTheme="majorHAnsi" w:cstheme="majorHAnsi"/>
        </w:rPr>
        <w:t xml:space="preserve">and </w:t>
      </w:r>
      <w:r w:rsidRPr="00363BBC">
        <w:rPr>
          <w:rFonts w:cstheme="minorHAnsi"/>
          <w:b/>
          <w:color w:val="538135" w:themeColor="accent6" w:themeShade="BF"/>
        </w:rPr>
        <w:t>Monitoring Devices</w:t>
      </w:r>
      <w:r w:rsidR="00363BBC" w:rsidRPr="00363BBC">
        <w:rPr>
          <w:rFonts w:asciiTheme="majorHAnsi" w:hAnsiTheme="majorHAnsi" w:cstheme="majorHAnsi"/>
        </w:rPr>
        <w:t>. A</w:t>
      </w:r>
      <w:r w:rsidR="001F2A68" w:rsidRPr="00363BBC">
        <w:rPr>
          <w:rFonts w:asciiTheme="majorHAnsi" w:hAnsiTheme="majorHAnsi" w:cstheme="majorHAnsi"/>
        </w:rPr>
        <w:t xml:space="preserve">s </w:t>
      </w:r>
      <w:r w:rsidRPr="00363BBC">
        <w:rPr>
          <w:rFonts w:asciiTheme="majorHAnsi" w:hAnsiTheme="majorHAnsi" w:cstheme="majorHAnsi"/>
        </w:rPr>
        <w:t>n</w:t>
      </w:r>
      <w:r w:rsidR="00363BBC" w:rsidRPr="00363BBC">
        <w:rPr>
          <w:rFonts w:asciiTheme="majorHAnsi" w:hAnsiTheme="majorHAnsi" w:cstheme="majorHAnsi"/>
        </w:rPr>
        <w:t>either</w:t>
      </w:r>
      <w:r w:rsidRPr="00363BBC">
        <w:rPr>
          <w:rFonts w:asciiTheme="majorHAnsi" w:hAnsiTheme="majorHAnsi" w:cstheme="majorHAnsi"/>
        </w:rPr>
        <w:t xml:space="preserve"> of these features are found within the pilot study area</w:t>
      </w:r>
      <w:r w:rsidR="001F2A68" w:rsidRPr="00363BBC">
        <w:rPr>
          <w:rFonts w:asciiTheme="majorHAnsi" w:hAnsiTheme="majorHAnsi" w:cstheme="majorHAnsi"/>
        </w:rPr>
        <w:t>, they are</w:t>
      </w:r>
      <w:r w:rsidRPr="00363BBC">
        <w:rPr>
          <w:rFonts w:asciiTheme="majorHAnsi" w:hAnsiTheme="majorHAnsi" w:cstheme="majorHAnsi"/>
        </w:rPr>
        <w:t xml:space="preserve"> therefore absent from the sample data.</w:t>
      </w:r>
      <w:r w:rsidR="00EA0066">
        <w:rPr>
          <w:rFonts w:asciiTheme="majorHAnsi" w:hAnsiTheme="majorHAnsi" w:cstheme="majorHAnsi"/>
        </w:rPr>
        <w:t xml:space="preserve"> </w:t>
      </w:r>
      <w:r w:rsidR="001F2A68" w:rsidRPr="00363BBC">
        <w:rPr>
          <w:rFonts w:asciiTheme="majorHAnsi" w:hAnsiTheme="majorHAnsi" w:cstheme="majorHAnsi"/>
        </w:rPr>
        <w:t xml:space="preserve">Additionally, there are no </w:t>
      </w:r>
      <w:r w:rsidR="001F2A68" w:rsidRPr="00363BBC">
        <w:rPr>
          <w:rFonts w:cstheme="minorHAnsi"/>
          <w:b/>
          <w:color w:val="0070C0"/>
        </w:rPr>
        <w:t>Lift Stations</w:t>
      </w:r>
      <w:r w:rsidR="001F2A68" w:rsidRPr="00363BBC">
        <w:rPr>
          <w:rFonts w:asciiTheme="majorHAnsi" w:hAnsiTheme="majorHAnsi" w:cstheme="majorHAnsi"/>
          <w:color w:val="0070C0"/>
        </w:rPr>
        <w:t xml:space="preserve"> </w:t>
      </w:r>
      <w:r w:rsidR="00363BBC" w:rsidRPr="00363BBC">
        <w:rPr>
          <w:rFonts w:asciiTheme="majorHAnsi" w:hAnsiTheme="majorHAnsi" w:cstheme="majorHAnsi"/>
        </w:rPr>
        <w:t xml:space="preserve">found </w:t>
      </w:r>
      <w:r w:rsidR="001F2A68" w:rsidRPr="00363BBC">
        <w:rPr>
          <w:rFonts w:asciiTheme="majorHAnsi" w:hAnsiTheme="majorHAnsi" w:cstheme="majorHAnsi"/>
        </w:rPr>
        <w:t xml:space="preserve">within the identified pilot study area, however, the City of Eagan has </w:t>
      </w:r>
      <w:r w:rsidR="00363BBC" w:rsidRPr="00363BBC">
        <w:rPr>
          <w:rFonts w:asciiTheme="majorHAnsi" w:hAnsiTheme="majorHAnsi" w:cstheme="majorHAnsi"/>
        </w:rPr>
        <w:t>provided seven of its lift station sites as part of the dataset, found to the north and east of the formal pilot study area.</w:t>
      </w:r>
    </w:p>
    <w:p w:rsidR="00280765" w:rsidRDefault="00280765" w:rsidP="00D60903">
      <w:pPr>
        <w:spacing w:after="0" w:line="240" w:lineRule="auto"/>
        <w:rPr>
          <w:rFonts w:asciiTheme="majorHAnsi" w:hAnsiTheme="majorHAnsi" w:cstheme="majorHAnsi"/>
        </w:rPr>
      </w:pPr>
    </w:p>
    <w:p w:rsidR="00280765" w:rsidRPr="00363BBC" w:rsidRDefault="00280765" w:rsidP="00D60903">
      <w:pPr>
        <w:spacing w:after="0" w:line="240" w:lineRule="auto"/>
        <w:rPr>
          <w:rFonts w:asciiTheme="majorHAnsi" w:hAnsiTheme="majorHAnsi" w:cstheme="majorHAnsi"/>
        </w:rPr>
      </w:pPr>
      <w:r>
        <w:rPr>
          <w:rFonts w:asciiTheme="majorHAnsi" w:hAnsiTheme="majorHAnsi" w:cstheme="majorHAnsi"/>
        </w:rPr>
        <w:t>Within the sample pilot dataset, there are many examples of ‘placeholder’ values where either the data was not readily available or not data existed. For missing numerical values, ‘0.01’ is used as a placeholder value, and in many instances a guide note: such as ‘&lt; insert maintenance agreement number &gt;’ or similar is found to indicate what kind of data would regularly be placed there.</w:t>
      </w:r>
    </w:p>
    <w:p w:rsidR="00363BBC" w:rsidRPr="00363BBC" w:rsidRDefault="00363BBC" w:rsidP="00D60903">
      <w:pPr>
        <w:spacing w:after="0" w:line="240" w:lineRule="auto"/>
        <w:rPr>
          <w:rFonts w:asciiTheme="majorHAnsi" w:hAnsiTheme="majorHAnsi" w:cstheme="majorHAnsi"/>
        </w:rPr>
      </w:pPr>
    </w:p>
    <w:p w:rsidR="00363BBC" w:rsidRPr="00363BBC" w:rsidRDefault="00363BBC" w:rsidP="00363BBC">
      <w:pPr>
        <w:spacing w:after="0" w:line="240" w:lineRule="auto"/>
        <w:rPr>
          <w:b/>
          <w:color w:val="7030A0"/>
        </w:rPr>
      </w:pPr>
      <w:r w:rsidRPr="00363BBC">
        <w:rPr>
          <w:b/>
          <w:color w:val="7030A0"/>
        </w:rPr>
        <w:t xml:space="preserve">Data </w:t>
      </w:r>
      <w:r w:rsidR="00280765">
        <w:rPr>
          <w:b/>
          <w:color w:val="7030A0"/>
        </w:rPr>
        <w:t>F</w:t>
      </w:r>
      <w:r w:rsidRPr="00363BBC">
        <w:rPr>
          <w:b/>
          <w:color w:val="7030A0"/>
        </w:rPr>
        <w:t>ormats</w:t>
      </w:r>
    </w:p>
    <w:p w:rsidR="00363BBC" w:rsidRDefault="00363BBC" w:rsidP="00363BBC">
      <w:pPr>
        <w:spacing w:after="0" w:line="240" w:lineRule="auto"/>
        <w:rPr>
          <w:rFonts w:asciiTheme="majorHAnsi" w:hAnsiTheme="majorHAnsi" w:cstheme="majorHAnsi"/>
        </w:rPr>
      </w:pPr>
      <w:r w:rsidRPr="00363BBC">
        <w:rPr>
          <w:rFonts w:asciiTheme="majorHAnsi" w:hAnsiTheme="majorHAnsi" w:cstheme="majorHAnsi"/>
        </w:rPr>
        <w:t xml:space="preserve">The sample pilot dataset is provided in two formats: as an </w:t>
      </w:r>
      <w:r w:rsidRPr="00EA0066">
        <w:rPr>
          <w:rFonts w:cstheme="minorHAnsi"/>
          <w:b/>
        </w:rPr>
        <w:t>ESRI geodatabase (.</w:t>
      </w:r>
      <w:proofErr w:type="spellStart"/>
      <w:r w:rsidRPr="00EA0066">
        <w:rPr>
          <w:rFonts w:cstheme="minorHAnsi"/>
          <w:b/>
        </w:rPr>
        <w:t>gdb</w:t>
      </w:r>
      <w:proofErr w:type="spellEnd"/>
      <w:r w:rsidRPr="00EA0066">
        <w:rPr>
          <w:rFonts w:cstheme="minorHAnsi"/>
          <w:b/>
        </w:rPr>
        <w:t>)</w:t>
      </w:r>
      <w:r w:rsidRPr="00363BBC">
        <w:rPr>
          <w:rFonts w:asciiTheme="majorHAnsi" w:hAnsiTheme="majorHAnsi" w:cstheme="majorHAnsi"/>
        </w:rPr>
        <w:t xml:space="preserve"> and as a collection of </w:t>
      </w:r>
      <w:r w:rsidRPr="00280765">
        <w:rPr>
          <w:rFonts w:cstheme="minorHAnsi"/>
          <w:b/>
        </w:rPr>
        <w:t>shapefiles (.</w:t>
      </w:r>
      <w:proofErr w:type="spellStart"/>
      <w:r w:rsidRPr="00280765">
        <w:rPr>
          <w:rFonts w:cstheme="minorHAnsi"/>
          <w:b/>
        </w:rPr>
        <w:t>shp</w:t>
      </w:r>
      <w:proofErr w:type="spellEnd"/>
      <w:r w:rsidRPr="00280765">
        <w:rPr>
          <w:rFonts w:cstheme="minorHAnsi"/>
          <w:b/>
        </w:rPr>
        <w:t>).</w:t>
      </w:r>
      <w:r w:rsidRPr="00363BBC">
        <w:rPr>
          <w:rFonts w:asciiTheme="majorHAnsi" w:hAnsiTheme="majorHAnsi" w:cstheme="majorHAnsi"/>
        </w:rPr>
        <w:t xml:space="preserve"> Within the geodatabase, the files are organized by geometric type </w:t>
      </w:r>
      <w:r w:rsidR="00800CBB">
        <w:rPr>
          <w:rFonts w:asciiTheme="majorHAnsi" w:hAnsiTheme="majorHAnsi" w:cstheme="majorHAnsi"/>
        </w:rPr>
        <w:t xml:space="preserve">intro three Feature Dataset Categories </w:t>
      </w:r>
      <w:r w:rsidRPr="00363BBC">
        <w:rPr>
          <w:rFonts w:asciiTheme="majorHAnsi" w:hAnsiTheme="majorHAnsi" w:cstheme="majorHAnsi"/>
        </w:rPr>
        <w:t>as follows:</w:t>
      </w:r>
    </w:p>
    <w:p w:rsidR="00280765" w:rsidRDefault="00280765" w:rsidP="00363BBC">
      <w:pPr>
        <w:spacing w:after="0" w:line="240" w:lineRule="auto"/>
        <w:rPr>
          <w:rFonts w:asciiTheme="majorHAnsi" w:hAnsiTheme="majorHAnsi" w:cstheme="majorHAnsi"/>
        </w:rPr>
      </w:pPr>
    </w:p>
    <w:p w:rsidR="00280765" w:rsidRPr="00280765" w:rsidRDefault="00280765" w:rsidP="00363BBC">
      <w:pPr>
        <w:spacing w:after="0" w:line="240" w:lineRule="auto"/>
        <w:rPr>
          <w:rFonts w:ascii="Segoe UI" w:hAnsi="Segoe UI" w:cs="Segoe UI"/>
          <w:b/>
          <w:sz w:val="20"/>
          <w:szCs w:val="20"/>
        </w:rPr>
      </w:pPr>
      <w:r>
        <w:rPr>
          <w:rFonts w:ascii="Segoe UI" w:hAnsi="Segoe UI" w:cs="Segoe UI"/>
          <w:b/>
          <w:sz w:val="20"/>
          <w:szCs w:val="20"/>
        </w:rPr>
        <w:t xml:space="preserve"> </w:t>
      </w:r>
      <w:proofErr w:type="spellStart"/>
      <w:r w:rsidRPr="00EA0066">
        <w:rPr>
          <w:rFonts w:ascii="Segoe UI" w:hAnsi="Segoe UI" w:cs="Segoe UI"/>
          <w:b/>
          <w:sz w:val="20"/>
          <w:szCs w:val="20"/>
        </w:rPr>
        <w:t>MSWGP_PilotDataset.gdb</w:t>
      </w:r>
      <w:bookmarkStart w:id="0" w:name="_GoBack"/>
      <w:bookmarkEnd w:id="0"/>
      <w:proofErr w:type="spellEnd"/>
    </w:p>
    <w:tbl>
      <w:tblPr>
        <w:tblStyle w:val="TableGrid"/>
        <w:tblW w:w="0" w:type="auto"/>
        <w:tblLook w:val="04A0" w:firstRow="1" w:lastRow="0" w:firstColumn="1" w:lastColumn="0" w:noHBand="0" w:noVBand="1"/>
      </w:tblPr>
      <w:tblGrid>
        <w:gridCol w:w="3116"/>
        <w:gridCol w:w="3117"/>
        <w:gridCol w:w="3117"/>
      </w:tblGrid>
      <w:tr w:rsidR="00280765" w:rsidTr="00280765">
        <w:tc>
          <w:tcPr>
            <w:tcW w:w="3116" w:type="dxa"/>
          </w:tcPr>
          <w:p w:rsidR="00280765" w:rsidRPr="00280765" w:rsidRDefault="00280765" w:rsidP="00280765">
            <w:pPr>
              <w:rPr>
                <w:rFonts w:ascii="Segoe UI" w:hAnsi="Segoe UI" w:cs="Segoe UI"/>
                <w:b/>
                <w:sz w:val="20"/>
                <w:szCs w:val="20"/>
              </w:rPr>
            </w:pPr>
            <w:r w:rsidRPr="00280765">
              <w:rPr>
                <w:rFonts w:ascii="Segoe UI" w:hAnsi="Segoe UI" w:cs="Segoe UI"/>
                <w:b/>
                <w:sz w:val="20"/>
                <w:szCs w:val="20"/>
              </w:rPr>
              <w:t>MSWGP_LINES</w:t>
            </w:r>
          </w:p>
        </w:tc>
        <w:tc>
          <w:tcPr>
            <w:tcW w:w="3117" w:type="dxa"/>
          </w:tcPr>
          <w:p w:rsidR="00280765" w:rsidRPr="00280765" w:rsidRDefault="00280765" w:rsidP="00280765">
            <w:pPr>
              <w:rPr>
                <w:rFonts w:ascii="Segoe UI" w:hAnsi="Segoe UI" w:cs="Segoe UI"/>
                <w:b/>
                <w:sz w:val="20"/>
                <w:szCs w:val="20"/>
              </w:rPr>
            </w:pPr>
            <w:r w:rsidRPr="00280765">
              <w:rPr>
                <w:rFonts w:ascii="Segoe UI" w:hAnsi="Segoe UI" w:cs="Segoe UI"/>
                <w:b/>
                <w:sz w:val="20"/>
                <w:szCs w:val="20"/>
              </w:rPr>
              <w:t>MSWGP_POINTS</w:t>
            </w:r>
          </w:p>
        </w:tc>
        <w:tc>
          <w:tcPr>
            <w:tcW w:w="3117" w:type="dxa"/>
          </w:tcPr>
          <w:p w:rsidR="00280765" w:rsidRPr="00280765" w:rsidRDefault="00280765" w:rsidP="00280765">
            <w:pPr>
              <w:rPr>
                <w:rFonts w:ascii="Segoe UI" w:hAnsi="Segoe UI" w:cs="Segoe UI"/>
                <w:b/>
                <w:sz w:val="20"/>
                <w:szCs w:val="20"/>
              </w:rPr>
            </w:pPr>
            <w:r w:rsidRPr="00280765">
              <w:rPr>
                <w:rFonts w:ascii="Segoe UI" w:hAnsi="Segoe UI" w:cs="Segoe UI"/>
                <w:b/>
                <w:sz w:val="20"/>
                <w:szCs w:val="20"/>
              </w:rPr>
              <w:t>MSWGP_PO</w:t>
            </w:r>
            <w:r>
              <w:rPr>
                <w:rFonts w:ascii="Segoe UI" w:hAnsi="Segoe UI" w:cs="Segoe UI"/>
                <w:b/>
                <w:sz w:val="20"/>
                <w:szCs w:val="20"/>
              </w:rPr>
              <w:t>LYGONS</w:t>
            </w:r>
          </w:p>
        </w:tc>
      </w:tr>
      <w:tr w:rsidR="00280765" w:rsidTr="00280765">
        <w:tc>
          <w:tcPr>
            <w:tcW w:w="3116"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Artificial</w:t>
            </w:r>
            <w:r>
              <w:rPr>
                <w:rFonts w:ascii="Segoe UI" w:hAnsi="Segoe UI" w:cs="Segoe UI"/>
                <w:sz w:val="18"/>
                <w:szCs w:val="18"/>
              </w:rPr>
              <w:t xml:space="preserve"> </w:t>
            </w:r>
            <w:r w:rsidRPr="00280765">
              <w:rPr>
                <w:rFonts w:ascii="Segoe UI" w:hAnsi="Segoe UI" w:cs="Segoe UI"/>
                <w:sz w:val="18"/>
                <w:szCs w:val="18"/>
              </w:rPr>
              <w:t>Paths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Artificial</w:t>
            </w:r>
            <w:r>
              <w:rPr>
                <w:rFonts w:ascii="Segoe UI" w:hAnsi="Segoe UI" w:cs="Segoe UI"/>
                <w:sz w:val="18"/>
                <w:szCs w:val="18"/>
              </w:rPr>
              <w:t xml:space="preserve"> </w:t>
            </w:r>
            <w:r w:rsidRPr="00280765">
              <w:rPr>
                <w:rFonts w:ascii="Segoe UI" w:hAnsi="Segoe UI" w:cs="Segoe UI"/>
                <w:sz w:val="18"/>
                <w:szCs w:val="18"/>
              </w:rPr>
              <w:t>Points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Basins</w:t>
            </w:r>
            <w:r>
              <w:rPr>
                <w:rFonts w:ascii="Segoe UI" w:hAnsi="Segoe UI" w:cs="Segoe UI"/>
                <w:sz w:val="18"/>
                <w:szCs w:val="18"/>
              </w:rPr>
              <w:t xml:space="preserve"> </w:t>
            </w:r>
            <w:proofErr w:type="gramStart"/>
            <w:r w:rsidRPr="00280765">
              <w:rPr>
                <w:rFonts w:ascii="Segoe UI" w:hAnsi="Segoe UI" w:cs="Segoe UI"/>
                <w:sz w:val="18"/>
                <w:szCs w:val="18"/>
              </w:rPr>
              <w:t>As</w:t>
            </w:r>
            <w:proofErr w:type="gramEnd"/>
            <w:r>
              <w:rPr>
                <w:rFonts w:ascii="Segoe UI" w:hAnsi="Segoe UI" w:cs="Segoe UI"/>
                <w:sz w:val="18"/>
                <w:szCs w:val="18"/>
              </w:rPr>
              <w:t xml:space="preserve"> </w:t>
            </w:r>
            <w:r w:rsidRPr="00280765">
              <w:rPr>
                <w:rFonts w:ascii="Segoe UI" w:hAnsi="Segoe UI" w:cs="Segoe UI"/>
                <w:sz w:val="18"/>
                <w:szCs w:val="18"/>
              </w:rPr>
              <w:t>Polygons</w:t>
            </w:r>
          </w:p>
        </w:tc>
      </w:tr>
      <w:tr w:rsidR="00280765" w:rsidTr="00280765">
        <w:tc>
          <w:tcPr>
            <w:tcW w:w="3116"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Channels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Basins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BMPs</w:t>
            </w:r>
            <w:r>
              <w:rPr>
                <w:rFonts w:ascii="Segoe UI" w:hAnsi="Segoe UI" w:cs="Segoe UI"/>
                <w:sz w:val="18"/>
                <w:szCs w:val="18"/>
              </w:rPr>
              <w:t xml:space="preserve"> </w:t>
            </w:r>
            <w:r w:rsidRPr="00280765">
              <w:rPr>
                <w:rFonts w:ascii="Segoe UI" w:hAnsi="Segoe UI" w:cs="Segoe UI"/>
                <w:sz w:val="18"/>
                <w:szCs w:val="18"/>
              </w:rPr>
              <w:t>As</w:t>
            </w:r>
            <w:r>
              <w:rPr>
                <w:rFonts w:ascii="Segoe UI" w:hAnsi="Segoe UI" w:cs="Segoe UI"/>
                <w:sz w:val="18"/>
                <w:szCs w:val="18"/>
              </w:rPr>
              <w:t xml:space="preserve"> </w:t>
            </w:r>
            <w:r w:rsidRPr="00280765">
              <w:rPr>
                <w:rFonts w:ascii="Segoe UI" w:hAnsi="Segoe UI" w:cs="Segoe UI"/>
                <w:sz w:val="18"/>
                <w:szCs w:val="18"/>
              </w:rPr>
              <w:t>Polygons</w:t>
            </w:r>
          </w:p>
        </w:tc>
      </w:tr>
      <w:tr w:rsidR="00280765" w:rsidTr="00280765">
        <w:tc>
          <w:tcPr>
            <w:tcW w:w="3116"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Pipes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BMPs</w:t>
            </w: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Pilot</w:t>
            </w:r>
            <w:r>
              <w:rPr>
                <w:rFonts w:ascii="Segoe UI" w:hAnsi="Segoe UI" w:cs="Segoe UI"/>
                <w:sz w:val="18"/>
                <w:szCs w:val="18"/>
              </w:rPr>
              <w:t xml:space="preserve"> </w:t>
            </w:r>
            <w:r w:rsidRPr="00280765">
              <w:rPr>
                <w:rFonts w:ascii="Segoe UI" w:hAnsi="Segoe UI" w:cs="Segoe UI"/>
                <w:sz w:val="18"/>
                <w:szCs w:val="18"/>
              </w:rPr>
              <w:t>Study</w:t>
            </w:r>
            <w:r>
              <w:rPr>
                <w:rFonts w:ascii="Segoe UI" w:hAnsi="Segoe UI" w:cs="Segoe UI"/>
                <w:sz w:val="18"/>
                <w:szCs w:val="18"/>
              </w:rPr>
              <w:t xml:space="preserve"> </w:t>
            </w:r>
            <w:r w:rsidRPr="00280765">
              <w:rPr>
                <w:rFonts w:ascii="Segoe UI" w:hAnsi="Segoe UI" w:cs="Segoe UI"/>
                <w:sz w:val="18"/>
                <w:szCs w:val="18"/>
              </w:rPr>
              <w:t>Site</w:t>
            </w:r>
            <w:r>
              <w:rPr>
                <w:rFonts w:ascii="Segoe UI" w:hAnsi="Segoe UI" w:cs="Segoe UI"/>
                <w:sz w:val="18"/>
                <w:szCs w:val="18"/>
              </w:rPr>
              <w:t xml:space="preserve"> </w:t>
            </w:r>
            <w:r w:rsidRPr="00280765">
              <w:rPr>
                <w:rFonts w:ascii="Segoe UI" w:hAnsi="Segoe UI" w:cs="Segoe UI"/>
                <w:sz w:val="18"/>
                <w:szCs w:val="18"/>
              </w:rPr>
              <w:t>Boundary</w:t>
            </w:r>
          </w:p>
        </w:tc>
      </w:tr>
      <w:tr w:rsidR="00280765" w:rsidTr="00280765">
        <w:tc>
          <w:tcPr>
            <w:tcW w:w="3116" w:type="dxa"/>
          </w:tcPr>
          <w:p w:rsidR="00280765" w:rsidRPr="00280765" w:rsidRDefault="00280765" w:rsidP="00280765">
            <w:pPr>
              <w:rPr>
                <w:rFonts w:ascii="Segoe UI" w:hAnsi="Segoe UI" w:cs="Segoe UI"/>
                <w:sz w:val="18"/>
                <w:szCs w:val="18"/>
              </w:rPr>
            </w:pP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Hydro</w:t>
            </w:r>
            <w:r>
              <w:rPr>
                <w:rFonts w:ascii="Segoe UI" w:hAnsi="Segoe UI" w:cs="Segoe UI"/>
                <w:sz w:val="18"/>
                <w:szCs w:val="18"/>
              </w:rPr>
              <w:t xml:space="preserve"> </w:t>
            </w:r>
            <w:r w:rsidRPr="00280765">
              <w:rPr>
                <w:rFonts w:ascii="Segoe UI" w:hAnsi="Segoe UI" w:cs="Segoe UI"/>
                <w:sz w:val="18"/>
                <w:szCs w:val="18"/>
              </w:rPr>
              <w:t>Control</w:t>
            </w:r>
            <w:r>
              <w:rPr>
                <w:rFonts w:ascii="Segoe UI" w:hAnsi="Segoe UI" w:cs="Segoe UI"/>
                <w:sz w:val="18"/>
                <w:szCs w:val="18"/>
              </w:rPr>
              <w:t xml:space="preserve"> </w:t>
            </w:r>
            <w:r w:rsidRPr="00280765">
              <w:rPr>
                <w:rFonts w:ascii="Segoe UI" w:hAnsi="Segoe UI" w:cs="Segoe UI"/>
                <w:sz w:val="18"/>
                <w:szCs w:val="18"/>
              </w:rPr>
              <w:t>Structures</w:t>
            </w:r>
          </w:p>
        </w:tc>
        <w:tc>
          <w:tcPr>
            <w:tcW w:w="3117" w:type="dxa"/>
          </w:tcPr>
          <w:p w:rsidR="00280765" w:rsidRPr="00280765" w:rsidRDefault="00280765" w:rsidP="00280765">
            <w:pPr>
              <w:rPr>
                <w:rFonts w:ascii="Segoe UI" w:hAnsi="Segoe UI" w:cs="Segoe UI"/>
                <w:sz w:val="18"/>
                <w:szCs w:val="18"/>
              </w:rPr>
            </w:pPr>
          </w:p>
        </w:tc>
      </w:tr>
      <w:tr w:rsidR="00280765" w:rsidTr="00280765">
        <w:tc>
          <w:tcPr>
            <w:tcW w:w="3116" w:type="dxa"/>
          </w:tcPr>
          <w:p w:rsidR="00280765" w:rsidRPr="00280765" w:rsidRDefault="00280765" w:rsidP="00280765">
            <w:pPr>
              <w:rPr>
                <w:rFonts w:ascii="Segoe UI" w:hAnsi="Segoe UI" w:cs="Segoe UI"/>
                <w:sz w:val="18"/>
                <w:szCs w:val="18"/>
              </w:rPr>
            </w:pP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Inlets</w:t>
            </w:r>
          </w:p>
        </w:tc>
        <w:tc>
          <w:tcPr>
            <w:tcW w:w="3117" w:type="dxa"/>
          </w:tcPr>
          <w:p w:rsidR="00280765" w:rsidRPr="00280765" w:rsidRDefault="00280765" w:rsidP="00280765">
            <w:pPr>
              <w:rPr>
                <w:rFonts w:ascii="Segoe UI" w:hAnsi="Segoe UI" w:cs="Segoe UI"/>
                <w:sz w:val="18"/>
                <w:szCs w:val="18"/>
              </w:rPr>
            </w:pPr>
          </w:p>
        </w:tc>
      </w:tr>
      <w:tr w:rsidR="00280765" w:rsidTr="00280765">
        <w:tc>
          <w:tcPr>
            <w:tcW w:w="3116" w:type="dxa"/>
          </w:tcPr>
          <w:p w:rsidR="00280765" w:rsidRPr="00280765" w:rsidRDefault="00280765" w:rsidP="00280765">
            <w:pPr>
              <w:rPr>
                <w:rFonts w:ascii="Segoe UI" w:hAnsi="Segoe UI" w:cs="Segoe UI"/>
                <w:sz w:val="18"/>
                <w:szCs w:val="18"/>
              </w:rPr>
            </w:pP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Lift</w:t>
            </w:r>
            <w:r>
              <w:rPr>
                <w:rFonts w:ascii="Segoe UI" w:hAnsi="Segoe UI" w:cs="Segoe UI"/>
                <w:sz w:val="18"/>
                <w:szCs w:val="18"/>
              </w:rPr>
              <w:t xml:space="preserve"> </w:t>
            </w:r>
            <w:r w:rsidRPr="00280765">
              <w:rPr>
                <w:rFonts w:ascii="Segoe UI" w:hAnsi="Segoe UI" w:cs="Segoe UI"/>
                <w:sz w:val="18"/>
                <w:szCs w:val="18"/>
              </w:rPr>
              <w:t>Stations</w:t>
            </w:r>
          </w:p>
        </w:tc>
        <w:tc>
          <w:tcPr>
            <w:tcW w:w="3117" w:type="dxa"/>
          </w:tcPr>
          <w:p w:rsidR="00280765" w:rsidRPr="00280765" w:rsidRDefault="00280765" w:rsidP="00280765">
            <w:pPr>
              <w:rPr>
                <w:rFonts w:ascii="Segoe UI" w:hAnsi="Segoe UI" w:cs="Segoe UI"/>
                <w:sz w:val="18"/>
                <w:szCs w:val="18"/>
              </w:rPr>
            </w:pPr>
          </w:p>
        </w:tc>
      </w:tr>
      <w:tr w:rsidR="00280765" w:rsidTr="00280765">
        <w:tc>
          <w:tcPr>
            <w:tcW w:w="3116" w:type="dxa"/>
          </w:tcPr>
          <w:p w:rsidR="00280765" w:rsidRPr="00280765" w:rsidRDefault="00280765" w:rsidP="00280765">
            <w:pPr>
              <w:rPr>
                <w:rFonts w:ascii="Segoe UI" w:hAnsi="Segoe UI" w:cs="Segoe UI"/>
                <w:sz w:val="18"/>
                <w:szCs w:val="18"/>
              </w:rPr>
            </w:pP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Manholes</w:t>
            </w:r>
          </w:p>
        </w:tc>
        <w:tc>
          <w:tcPr>
            <w:tcW w:w="3117" w:type="dxa"/>
          </w:tcPr>
          <w:p w:rsidR="00280765" w:rsidRPr="00280765" w:rsidRDefault="00280765" w:rsidP="00280765">
            <w:pPr>
              <w:rPr>
                <w:rFonts w:ascii="Segoe UI" w:hAnsi="Segoe UI" w:cs="Segoe UI"/>
                <w:sz w:val="18"/>
                <w:szCs w:val="18"/>
              </w:rPr>
            </w:pPr>
          </w:p>
        </w:tc>
      </w:tr>
      <w:tr w:rsidR="00280765" w:rsidTr="00280765">
        <w:tc>
          <w:tcPr>
            <w:tcW w:w="3116" w:type="dxa"/>
          </w:tcPr>
          <w:p w:rsidR="00280765" w:rsidRPr="00280765" w:rsidRDefault="00280765" w:rsidP="00280765">
            <w:pPr>
              <w:rPr>
                <w:rFonts w:ascii="Segoe UI" w:hAnsi="Segoe UI" w:cs="Segoe UI"/>
                <w:sz w:val="18"/>
                <w:szCs w:val="18"/>
              </w:rPr>
            </w:pPr>
          </w:p>
        </w:tc>
        <w:tc>
          <w:tcPr>
            <w:tcW w:w="3117" w:type="dxa"/>
          </w:tcPr>
          <w:p w:rsidR="00280765" w:rsidRPr="00280765" w:rsidRDefault="00280765" w:rsidP="00280765">
            <w:pPr>
              <w:rPr>
                <w:rFonts w:ascii="Segoe UI" w:hAnsi="Segoe UI" w:cs="Segoe UI"/>
                <w:sz w:val="18"/>
                <w:szCs w:val="18"/>
              </w:rPr>
            </w:pPr>
            <w:r w:rsidRPr="00280765">
              <w:rPr>
                <w:rFonts w:ascii="Segoe UI" w:hAnsi="Segoe UI" w:cs="Segoe UI"/>
                <w:sz w:val="18"/>
                <w:szCs w:val="18"/>
              </w:rPr>
              <w:t>Outlets</w:t>
            </w:r>
          </w:p>
        </w:tc>
        <w:tc>
          <w:tcPr>
            <w:tcW w:w="3117" w:type="dxa"/>
          </w:tcPr>
          <w:p w:rsidR="00280765" w:rsidRPr="00280765" w:rsidRDefault="00280765" w:rsidP="00280765">
            <w:pPr>
              <w:rPr>
                <w:rFonts w:ascii="Segoe UI" w:hAnsi="Segoe UI" w:cs="Segoe UI"/>
                <w:sz w:val="18"/>
                <w:szCs w:val="18"/>
              </w:rPr>
            </w:pPr>
          </w:p>
        </w:tc>
      </w:tr>
    </w:tbl>
    <w:p w:rsidR="00D60903" w:rsidRDefault="00363BBC" w:rsidP="00280765">
      <w:pPr>
        <w:spacing w:after="0" w:line="240" w:lineRule="auto"/>
        <w:rPr>
          <w:rFonts w:asciiTheme="majorHAnsi" w:hAnsiTheme="majorHAnsi" w:cstheme="majorHAnsi"/>
          <w:sz w:val="24"/>
          <w:szCs w:val="24"/>
        </w:rPr>
      </w:pPr>
      <w:r w:rsidRPr="00EA0066">
        <w:rPr>
          <w:rFonts w:ascii="Segoe UI" w:hAnsi="Segoe UI" w:cs="Segoe UI"/>
          <w:sz w:val="20"/>
          <w:szCs w:val="20"/>
        </w:rPr>
        <w:tab/>
      </w:r>
      <w:r w:rsidRPr="00EA0066">
        <w:rPr>
          <w:rFonts w:ascii="Segoe UI" w:hAnsi="Segoe UI" w:cs="Segoe UI"/>
          <w:sz w:val="20"/>
          <w:szCs w:val="20"/>
        </w:rPr>
        <w:tab/>
      </w:r>
      <w:r w:rsidR="00EA0066">
        <w:rPr>
          <w:rFonts w:ascii="Segoe UI" w:hAnsi="Segoe UI" w:cs="Segoe UI"/>
          <w:sz w:val="20"/>
          <w:szCs w:val="20"/>
        </w:rPr>
        <w:tab/>
      </w:r>
    </w:p>
    <w:p w:rsidR="00D60903" w:rsidRDefault="00D60903"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280765" w:rsidRDefault="00280765" w:rsidP="00D60903">
      <w:pPr>
        <w:spacing w:after="0" w:line="240" w:lineRule="auto"/>
        <w:rPr>
          <w:rFonts w:asciiTheme="majorHAnsi" w:hAnsiTheme="majorHAnsi" w:cstheme="majorHAnsi"/>
          <w:sz w:val="24"/>
          <w:szCs w:val="24"/>
        </w:rPr>
      </w:pPr>
    </w:p>
    <w:p w:rsidR="00EA0066" w:rsidRDefault="00EA0066" w:rsidP="00EA0066">
      <w:pPr>
        <w:spacing w:after="0" w:line="240" w:lineRule="auto"/>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pPr>
      <w:r w:rsidRPr="008E180F">
        <w:rPr>
          <w:rFonts w:asciiTheme="majorHAnsi" w:hAnsiTheme="majorHAnsi" w:cstheme="majorHAnsi"/>
          <w:b/>
          <w:noProof/>
        </w:rPr>
        <w:drawing>
          <wp:anchor distT="0" distB="0" distL="114300" distR="114300" simplePos="0" relativeHeight="251666432" behindDoc="1" locked="0" layoutInCell="1" allowOverlap="1" wp14:anchorId="401757CF" wp14:editId="5A9068E1">
            <wp:simplePos x="0" y="0"/>
            <wp:positionH relativeFrom="column">
              <wp:posOffset>5092065</wp:posOffset>
            </wp:positionH>
            <wp:positionV relativeFrom="paragraph">
              <wp:posOffset>539</wp:posOffset>
            </wp:positionV>
            <wp:extent cx="917575" cy="897890"/>
            <wp:effectExtent l="0" t="0" r="0" b="0"/>
            <wp:wrapTight wrapText="bothSides">
              <wp:wrapPolygon edited="0">
                <wp:start x="0" y="0"/>
                <wp:lineTo x="0" y="21081"/>
                <wp:lineTo x="21077" y="21081"/>
                <wp:lineTo x="2107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17575" cy="8978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75342">
        <w:rPr>
          <w:rFonts w:ascii="Segoe UI" w:hAnsi="Segoe UI" w:cs="Segoe UI"/>
          <w:noProof/>
          <w:color w:val="FFFFFF" w:themeColor="background1"/>
          <w:sz w:val="28"/>
          <w:szCs w:val="28"/>
        </w:rPr>
        <w:drawing>
          <wp:anchor distT="0" distB="0" distL="114300" distR="114300" simplePos="0" relativeHeight="251667456" behindDoc="1" locked="0" layoutInCell="1" allowOverlap="1" wp14:anchorId="711460EB" wp14:editId="35D707C4">
            <wp:simplePos x="0" y="0"/>
            <wp:positionH relativeFrom="page">
              <wp:posOffset>0</wp:posOffset>
            </wp:positionH>
            <wp:positionV relativeFrom="paragraph">
              <wp:posOffset>93081</wp:posOffset>
            </wp:positionV>
            <wp:extent cx="5947880" cy="595423"/>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5947880" cy="595423"/>
                    </a:xfrm>
                    <a:prstGeom prst="rect">
                      <a:avLst/>
                    </a:prstGeom>
                  </pic:spPr>
                </pic:pic>
              </a:graphicData>
            </a:graphic>
            <wp14:sizeRelH relativeFrom="margin">
              <wp14:pctWidth>0</wp14:pctWidth>
            </wp14:sizeRelH>
            <wp14:sizeRelV relativeFrom="margin">
              <wp14:pctHeight>0</wp14:pctHeight>
            </wp14:sizeRelV>
          </wp:anchor>
        </w:drawing>
      </w:r>
    </w:p>
    <w:p w:rsidR="00EA0066" w:rsidRDefault="00EA0066" w:rsidP="00EA0066">
      <w:pPr>
        <w:spacing w:after="0" w:line="240" w:lineRule="auto"/>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pPr>
      <w:r>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t>Providing Feedback on the MSWGP Draft Standard</w:t>
      </w:r>
    </w:p>
    <w:p w:rsidR="00EA0066" w:rsidRDefault="00EA0066" w:rsidP="00EA0066">
      <w:pPr>
        <w:spacing w:after="0" w:line="240" w:lineRule="auto"/>
        <w:rPr>
          <w:rFonts w:ascii="Segoe UI" w:hAnsi="Segoe UI" w:cs="Segoe UI"/>
          <w:b/>
          <w:color w:val="FFFFFF" w:themeColor="background1"/>
          <w:sz w:val="28"/>
          <w:szCs w:val="28"/>
          <w14:shadow w14:blurRad="50800" w14:dist="101600" w14:dir="2700000" w14:sx="100000" w14:sy="100000" w14:kx="0" w14:ky="0" w14:algn="tl">
            <w14:schemeClr w14:val="tx1">
              <w14:alpha w14:val="50000"/>
            </w14:schemeClr>
          </w14:shadow>
        </w:rPr>
      </w:pPr>
    </w:p>
    <w:p w:rsidR="00EA0066" w:rsidRPr="002A0D45" w:rsidRDefault="00EA0066" w:rsidP="00EA0066">
      <w:pPr>
        <w:spacing w:after="0" w:line="240" w:lineRule="auto"/>
        <w:rPr>
          <w:b/>
          <w:i/>
          <w:color w:val="7030A0"/>
        </w:rPr>
      </w:pPr>
    </w:p>
    <w:p w:rsidR="00EA0066" w:rsidRDefault="00EA0066" w:rsidP="00EA0066">
      <w:pPr>
        <w:rPr>
          <w:rFonts w:asciiTheme="majorHAnsi" w:hAnsiTheme="majorHAnsi" w:cstheme="majorHAnsi"/>
        </w:rPr>
      </w:pPr>
      <w:r>
        <w:rPr>
          <w:rFonts w:asciiTheme="majorHAnsi" w:hAnsiTheme="majorHAnsi" w:cstheme="majorHAnsi"/>
        </w:rPr>
        <w:t>The MSWGP Steering Team welcomes comments, suggestions, additions and revisions to the proposed stormwater geodata transfer standard. The Steering Team fully acknowledges that a complex data standard resource such as this is enhanced and improved with the thoughtful input, experience and contributions of the entire professional community.</w:t>
      </w:r>
    </w:p>
    <w:p w:rsidR="00EA0066" w:rsidRDefault="00EA0066" w:rsidP="00EA0066">
      <w:pPr>
        <w:rPr>
          <w:rFonts w:asciiTheme="majorHAnsi" w:hAnsiTheme="majorHAnsi" w:cstheme="majorHAnsi"/>
        </w:rPr>
      </w:pPr>
      <w:r>
        <w:rPr>
          <w:rFonts w:asciiTheme="majorHAnsi" w:hAnsiTheme="majorHAnsi" w:cstheme="majorHAnsi"/>
        </w:rPr>
        <w:t>If you would be interested in providing input on the draft standard, please contact the following individuals—who are serving as co-coordinators of the effort—they will field your questions and add your comments to those documented during the v. 0.5 stakeholder review period during 2020.</w:t>
      </w:r>
    </w:p>
    <w:p w:rsidR="00EA0066" w:rsidRDefault="00EA0066" w:rsidP="00EA0066">
      <w:pPr>
        <w:spacing w:after="0" w:line="240" w:lineRule="auto"/>
        <w:rPr>
          <w:rFonts w:asciiTheme="majorHAnsi" w:hAnsiTheme="majorHAnsi" w:cstheme="majorHAnsi"/>
        </w:rPr>
      </w:pPr>
    </w:p>
    <w:p w:rsidR="00EA0066" w:rsidRPr="00206802" w:rsidRDefault="00EA0066" w:rsidP="00EA0066">
      <w:pPr>
        <w:spacing w:after="0" w:line="240" w:lineRule="auto"/>
        <w:rPr>
          <w:rFonts w:asciiTheme="majorHAnsi" w:hAnsiTheme="majorHAnsi" w:cstheme="majorHAnsi"/>
          <w:sz w:val="18"/>
          <w:szCs w:val="18"/>
        </w:rPr>
      </w:pPr>
      <w:r w:rsidRPr="00206802">
        <w:rPr>
          <w:noProof/>
          <w:sz w:val="18"/>
          <w:szCs w:val="18"/>
        </w:rPr>
        <w:drawing>
          <wp:anchor distT="0" distB="0" distL="114300" distR="114300" simplePos="0" relativeHeight="251663360" behindDoc="1" locked="0" layoutInCell="1" allowOverlap="1" wp14:anchorId="4A67D782" wp14:editId="0CC376D0">
            <wp:simplePos x="0" y="0"/>
            <wp:positionH relativeFrom="column">
              <wp:posOffset>-30216</wp:posOffset>
            </wp:positionH>
            <wp:positionV relativeFrom="paragraph">
              <wp:posOffset>38100</wp:posOffset>
            </wp:positionV>
            <wp:extent cx="438785" cy="384810"/>
            <wp:effectExtent l="0" t="0" r="0" b="0"/>
            <wp:wrapTight wrapText="bothSides">
              <wp:wrapPolygon edited="0">
                <wp:start x="4689" y="0"/>
                <wp:lineTo x="0" y="9624"/>
                <wp:lineTo x="0" y="20317"/>
                <wp:lineTo x="20631" y="20317"/>
                <wp:lineTo x="20631" y="9624"/>
                <wp:lineTo x="13129" y="0"/>
                <wp:lineTo x="4689"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8785" cy="384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06802">
        <w:rPr>
          <w:noProof/>
          <w:sz w:val="18"/>
          <w:szCs w:val="18"/>
        </w:rPr>
        <w:drawing>
          <wp:anchor distT="0" distB="0" distL="114300" distR="114300" simplePos="0" relativeHeight="251662336" behindDoc="1" locked="0" layoutInCell="1" allowOverlap="1" wp14:anchorId="41B1C235" wp14:editId="5B745161">
            <wp:simplePos x="0" y="0"/>
            <wp:positionH relativeFrom="margin">
              <wp:posOffset>3102382</wp:posOffset>
            </wp:positionH>
            <wp:positionV relativeFrom="paragraph">
              <wp:posOffset>10160</wp:posOffset>
            </wp:positionV>
            <wp:extent cx="407035" cy="438785"/>
            <wp:effectExtent l="0" t="0" r="0" b="0"/>
            <wp:wrapTight wrapText="bothSides">
              <wp:wrapPolygon edited="0">
                <wp:start x="0" y="0"/>
                <wp:lineTo x="0" y="20631"/>
                <wp:lineTo x="20218" y="20631"/>
                <wp:lineTo x="2021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7035" cy="438785"/>
                    </a:xfrm>
                    <a:prstGeom prst="rect">
                      <a:avLst/>
                    </a:prstGeom>
                  </pic:spPr>
                </pic:pic>
              </a:graphicData>
            </a:graphic>
            <wp14:sizeRelH relativeFrom="margin">
              <wp14:pctWidth>0</wp14:pctWidth>
            </wp14:sizeRelH>
            <wp14:sizeRelV relativeFrom="margin">
              <wp14:pctHeight>0</wp14:pctHeight>
            </wp14:sizeRelV>
          </wp:anchor>
        </w:drawing>
      </w:r>
      <w:r w:rsidRPr="00206802">
        <w:rPr>
          <w:rFonts w:asciiTheme="majorHAnsi" w:hAnsiTheme="majorHAnsi" w:cstheme="majorHAnsi"/>
          <w:sz w:val="18"/>
          <w:szCs w:val="18"/>
        </w:rPr>
        <w:t xml:space="preserve">  Geoffrey Maas, Senior Geospatial Business Analyst</w:t>
      </w:r>
      <w:r>
        <w:rPr>
          <w:rFonts w:asciiTheme="majorHAnsi" w:hAnsiTheme="majorHAnsi" w:cstheme="majorHAnsi"/>
          <w:sz w:val="18"/>
          <w:szCs w:val="18"/>
        </w:rPr>
        <w:tab/>
      </w:r>
      <w:r w:rsidRPr="00206802">
        <w:rPr>
          <w:rFonts w:asciiTheme="majorHAnsi" w:hAnsiTheme="majorHAnsi" w:cstheme="majorHAnsi"/>
          <w:sz w:val="18"/>
          <w:szCs w:val="18"/>
        </w:rPr>
        <w:t>Carrie Magnuson, GIS Technician</w:t>
      </w:r>
    </w:p>
    <w:p w:rsidR="00EA0066" w:rsidRPr="00206802" w:rsidRDefault="00EA0066" w:rsidP="00EA0066">
      <w:pPr>
        <w:spacing w:after="0" w:line="240" w:lineRule="auto"/>
        <w:rPr>
          <w:rFonts w:asciiTheme="majorHAnsi" w:hAnsiTheme="majorHAnsi" w:cstheme="majorHAnsi"/>
          <w:sz w:val="18"/>
          <w:szCs w:val="18"/>
        </w:rPr>
      </w:pPr>
      <w:r w:rsidRPr="00206802">
        <w:rPr>
          <w:rFonts w:asciiTheme="majorHAnsi" w:hAnsiTheme="majorHAnsi" w:cstheme="majorHAnsi"/>
          <w:sz w:val="18"/>
          <w:szCs w:val="18"/>
        </w:rPr>
        <w:t>Ramsey County</w:t>
      </w:r>
      <w:r>
        <w:rPr>
          <w:rFonts w:asciiTheme="majorHAnsi" w:hAnsiTheme="majorHAnsi" w:cstheme="majorHAnsi"/>
          <w:sz w:val="18"/>
          <w:szCs w:val="18"/>
        </w:rPr>
        <w:tab/>
      </w:r>
      <w:r>
        <w:rPr>
          <w:rFonts w:asciiTheme="majorHAnsi" w:hAnsiTheme="majorHAnsi" w:cstheme="majorHAnsi"/>
          <w:sz w:val="18"/>
          <w:szCs w:val="18"/>
        </w:rPr>
        <w:tab/>
      </w:r>
      <w:r>
        <w:rPr>
          <w:rFonts w:asciiTheme="majorHAnsi" w:hAnsiTheme="majorHAnsi" w:cstheme="majorHAnsi"/>
          <w:sz w:val="18"/>
          <w:szCs w:val="18"/>
        </w:rPr>
        <w:tab/>
      </w:r>
      <w:r>
        <w:rPr>
          <w:rFonts w:asciiTheme="majorHAnsi" w:hAnsiTheme="majorHAnsi" w:cstheme="majorHAnsi"/>
          <w:sz w:val="18"/>
          <w:szCs w:val="18"/>
        </w:rPr>
        <w:tab/>
      </w:r>
      <w:r>
        <w:rPr>
          <w:rFonts w:asciiTheme="majorHAnsi" w:hAnsiTheme="majorHAnsi" w:cstheme="majorHAnsi"/>
          <w:sz w:val="18"/>
          <w:szCs w:val="18"/>
        </w:rPr>
        <w:tab/>
      </w:r>
      <w:r w:rsidRPr="00206802">
        <w:rPr>
          <w:rFonts w:asciiTheme="majorHAnsi" w:hAnsiTheme="majorHAnsi" w:cstheme="majorHAnsi"/>
          <w:sz w:val="18"/>
          <w:szCs w:val="18"/>
        </w:rPr>
        <w:t>Ramsey-Washington Metro Watershed District</w:t>
      </w:r>
    </w:p>
    <w:p w:rsidR="00EA0066" w:rsidRPr="00206802" w:rsidRDefault="00280765" w:rsidP="00EA0066">
      <w:pPr>
        <w:spacing w:after="0" w:line="240" w:lineRule="auto"/>
        <w:rPr>
          <w:rFonts w:asciiTheme="majorHAnsi" w:hAnsiTheme="majorHAnsi" w:cstheme="majorHAnsi"/>
          <w:sz w:val="18"/>
          <w:szCs w:val="18"/>
        </w:rPr>
      </w:pPr>
      <w:hyperlink r:id="rId9" w:history="1">
        <w:r w:rsidR="00EA0066" w:rsidRPr="00206802">
          <w:rPr>
            <w:rStyle w:val="Hyperlink"/>
            <w:rFonts w:asciiTheme="majorHAnsi" w:hAnsiTheme="majorHAnsi" w:cstheme="majorHAnsi"/>
            <w:sz w:val="18"/>
            <w:szCs w:val="18"/>
          </w:rPr>
          <w:t>geoffrey.maas@co.ramsey.mn.us</w:t>
        </w:r>
      </w:hyperlink>
      <w:r w:rsidR="00EA0066">
        <w:rPr>
          <w:rFonts w:asciiTheme="majorHAnsi" w:hAnsiTheme="majorHAnsi" w:cstheme="majorHAnsi"/>
          <w:sz w:val="18"/>
          <w:szCs w:val="18"/>
        </w:rPr>
        <w:tab/>
      </w:r>
      <w:r w:rsidR="00EA0066">
        <w:rPr>
          <w:rFonts w:asciiTheme="majorHAnsi" w:hAnsiTheme="majorHAnsi" w:cstheme="majorHAnsi"/>
          <w:sz w:val="18"/>
          <w:szCs w:val="18"/>
        </w:rPr>
        <w:tab/>
      </w:r>
      <w:r w:rsidR="00EA0066">
        <w:rPr>
          <w:rFonts w:asciiTheme="majorHAnsi" w:hAnsiTheme="majorHAnsi" w:cstheme="majorHAnsi"/>
          <w:sz w:val="18"/>
          <w:szCs w:val="18"/>
        </w:rPr>
        <w:tab/>
      </w:r>
      <w:hyperlink r:id="rId10" w:history="1">
        <w:r w:rsidR="00EA0066" w:rsidRPr="00206802">
          <w:rPr>
            <w:rStyle w:val="Hyperlink"/>
            <w:rFonts w:asciiTheme="majorHAnsi" w:hAnsiTheme="majorHAnsi" w:cstheme="majorHAnsi"/>
            <w:sz w:val="18"/>
            <w:szCs w:val="18"/>
          </w:rPr>
          <w:t>carrie.magnuson@rwmwd.org</w:t>
        </w:r>
      </w:hyperlink>
    </w:p>
    <w:p w:rsidR="00EA0066" w:rsidRPr="00206802" w:rsidRDefault="00EA0066" w:rsidP="00EA0066">
      <w:pPr>
        <w:spacing w:after="0" w:line="240" w:lineRule="auto"/>
        <w:rPr>
          <w:rFonts w:asciiTheme="majorHAnsi" w:hAnsiTheme="majorHAnsi" w:cstheme="majorHAnsi"/>
          <w:sz w:val="18"/>
          <w:szCs w:val="18"/>
        </w:rPr>
      </w:pPr>
    </w:p>
    <w:p w:rsidR="00EA0066" w:rsidRPr="00206802" w:rsidRDefault="00EA0066" w:rsidP="00EA0066">
      <w:pPr>
        <w:spacing w:after="0" w:line="240" w:lineRule="auto"/>
        <w:rPr>
          <w:rFonts w:asciiTheme="majorHAnsi" w:hAnsiTheme="majorHAnsi" w:cstheme="majorHAnsi"/>
          <w:sz w:val="18"/>
          <w:szCs w:val="18"/>
        </w:rPr>
      </w:pPr>
      <w:r w:rsidRPr="00206802">
        <w:rPr>
          <w:rFonts w:asciiTheme="majorHAnsi" w:hAnsiTheme="majorHAnsi" w:cstheme="majorHAnsi"/>
          <w:noProof/>
          <w:sz w:val="18"/>
          <w:szCs w:val="18"/>
        </w:rPr>
        <w:drawing>
          <wp:anchor distT="0" distB="0" distL="114300" distR="114300" simplePos="0" relativeHeight="251664384" behindDoc="1" locked="0" layoutInCell="1" allowOverlap="1" wp14:anchorId="1862E62F" wp14:editId="25255ACA">
            <wp:simplePos x="0" y="0"/>
            <wp:positionH relativeFrom="margin">
              <wp:align>left</wp:align>
            </wp:positionH>
            <wp:positionV relativeFrom="paragraph">
              <wp:posOffset>134620</wp:posOffset>
            </wp:positionV>
            <wp:extent cx="318770" cy="401955"/>
            <wp:effectExtent l="0" t="0" r="5080" b="0"/>
            <wp:wrapTight wrapText="bothSides">
              <wp:wrapPolygon edited="0">
                <wp:start x="0" y="0"/>
                <wp:lineTo x="0" y="20474"/>
                <wp:lineTo x="20653" y="20474"/>
                <wp:lineTo x="20653"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8770" cy="4019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A0066" w:rsidRPr="00206802" w:rsidRDefault="00EA0066" w:rsidP="00EA0066">
      <w:pPr>
        <w:spacing w:after="0" w:line="240" w:lineRule="auto"/>
        <w:rPr>
          <w:rFonts w:asciiTheme="majorHAnsi" w:hAnsiTheme="majorHAnsi" w:cstheme="majorHAnsi"/>
          <w:sz w:val="18"/>
          <w:szCs w:val="18"/>
        </w:rPr>
      </w:pPr>
      <w:r w:rsidRPr="00206802">
        <w:rPr>
          <w:rFonts w:asciiTheme="majorHAnsi" w:hAnsiTheme="majorHAnsi" w:cstheme="majorHAnsi"/>
          <w:sz w:val="18"/>
          <w:szCs w:val="18"/>
        </w:rPr>
        <w:t xml:space="preserve"> Alex Blenkush, GIS Analyst</w:t>
      </w:r>
    </w:p>
    <w:p w:rsidR="00EA0066" w:rsidRPr="00206802" w:rsidRDefault="00EA0066" w:rsidP="00EA0066">
      <w:pPr>
        <w:spacing w:after="0" w:line="240" w:lineRule="auto"/>
        <w:rPr>
          <w:rFonts w:asciiTheme="majorHAnsi" w:hAnsiTheme="majorHAnsi" w:cstheme="majorHAnsi"/>
          <w:sz w:val="18"/>
          <w:szCs w:val="18"/>
        </w:rPr>
      </w:pPr>
      <w:r w:rsidRPr="00206802">
        <w:rPr>
          <w:rFonts w:asciiTheme="majorHAnsi" w:hAnsiTheme="majorHAnsi" w:cstheme="majorHAnsi"/>
          <w:sz w:val="18"/>
          <w:szCs w:val="18"/>
        </w:rPr>
        <w:t xml:space="preserve"> Hennepin County</w:t>
      </w:r>
    </w:p>
    <w:p w:rsidR="00EA0066" w:rsidRDefault="00EA0066" w:rsidP="00EA0066">
      <w:pPr>
        <w:spacing w:after="0" w:line="240" w:lineRule="auto"/>
        <w:rPr>
          <w:rStyle w:val="Hyperlink"/>
          <w:rFonts w:asciiTheme="majorHAnsi" w:hAnsiTheme="majorHAnsi" w:cstheme="majorHAnsi"/>
          <w:sz w:val="18"/>
          <w:szCs w:val="18"/>
        </w:rPr>
      </w:pPr>
      <w:r w:rsidRPr="00206802">
        <w:rPr>
          <w:rFonts w:asciiTheme="majorHAnsi" w:hAnsiTheme="majorHAnsi" w:cstheme="majorHAnsi"/>
          <w:sz w:val="18"/>
          <w:szCs w:val="18"/>
        </w:rPr>
        <w:t xml:space="preserve"> </w:t>
      </w:r>
      <w:hyperlink r:id="rId12" w:history="1">
        <w:r w:rsidRPr="008014D3">
          <w:rPr>
            <w:rStyle w:val="Hyperlink"/>
            <w:rFonts w:asciiTheme="majorHAnsi" w:hAnsiTheme="majorHAnsi" w:cstheme="majorHAnsi"/>
            <w:sz w:val="18"/>
            <w:szCs w:val="18"/>
          </w:rPr>
          <w:t>alex.blenkush@hennepin.us</w:t>
        </w:r>
      </w:hyperlink>
    </w:p>
    <w:p w:rsidR="00EA0066" w:rsidRDefault="00EA0066" w:rsidP="00EA0066">
      <w:pPr>
        <w:spacing w:after="0" w:line="240" w:lineRule="auto"/>
        <w:rPr>
          <w:rStyle w:val="Hyperlink"/>
          <w:rFonts w:asciiTheme="majorHAnsi" w:hAnsiTheme="majorHAnsi" w:cstheme="majorHAnsi"/>
          <w:sz w:val="18"/>
          <w:szCs w:val="18"/>
        </w:rPr>
      </w:pPr>
    </w:p>
    <w:p w:rsidR="00EA0066" w:rsidRDefault="00EA0066" w:rsidP="00EA0066">
      <w:pPr>
        <w:spacing w:after="0" w:line="240" w:lineRule="auto"/>
        <w:rPr>
          <w:rStyle w:val="Hyperlink"/>
          <w:rFonts w:asciiTheme="majorHAnsi" w:hAnsiTheme="majorHAnsi" w:cstheme="majorHAnsi"/>
          <w:sz w:val="18"/>
          <w:szCs w:val="18"/>
        </w:rPr>
      </w:pPr>
    </w:p>
    <w:p w:rsidR="00EA0066" w:rsidRDefault="00EA0066" w:rsidP="00EA0066">
      <w:pPr>
        <w:spacing w:after="0" w:line="240" w:lineRule="auto"/>
        <w:rPr>
          <w:rStyle w:val="Hyperlink"/>
          <w:rFonts w:asciiTheme="majorHAnsi" w:hAnsiTheme="majorHAnsi" w:cstheme="majorHAnsi"/>
          <w:sz w:val="18"/>
          <w:szCs w:val="18"/>
        </w:rPr>
      </w:pPr>
    </w:p>
    <w:p w:rsidR="00EA0066" w:rsidRDefault="00EA0066" w:rsidP="00EA0066">
      <w:pPr>
        <w:spacing w:after="0" w:line="240" w:lineRule="auto"/>
        <w:rPr>
          <w:rStyle w:val="Hyperlink"/>
          <w:rFonts w:asciiTheme="majorHAnsi" w:hAnsiTheme="majorHAnsi" w:cstheme="majorHAnsi"/>
          <w:sz w:val="18"/>
          <w:szCs w:val="18"/>
        </w:rPr>
      </w:pPr>
    </w:p>
    <w:p w:rsidR="00037751" w:rsidRDefault="00037751"/>
    <w:sectPr w:rsidR="000377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1D5074"/>
    <w:multiLevelType w:val="hybridMultilevel"/>
    <w:tmpl w:val="4AEC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903"/>
    <w:rsid w:val="00037751"/>
    <w:rsid w:val="001F2A68"/>
    <w:rsid w:val="00280765"/>
    <w:rsid w:val="00363BBC"/>
    <w:rsid w:val="00800CBB"/>
    <w:rsid w:val="00A24615"/>
    <w:rsid w:val="00D60903"/>
    <w:rsid w:val="00DC77E1"/>
    <w:rsid w:val="00EA00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2C9D9A"/>
  <w15:chartTrackingRefBased/>
  <w15:docId w15:val="{9AE6F0B4-5835-43D2-8C17-5D1F77DE9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60903"/>
    <w:pPr>
      <w:ind w:left="720"/>
      <w:contextualSpacing/>
    </w:pPr>
  </w:style>
  <w:style w:type="character" w:styleId="Hyperlink">
    <w:name w:val="Hyperlink"/>
    <w:basedOn w:val="DefaultParagraphFont"/>
    <w:uiPriority w:val="99"/>
    <w:unhideWhenUsed/>
    <w:rsid w:val="00EA0066"/>
    <w:rPr>
      <w:color w:val="0070C0"/>
      <w:u w:val="single"/>
    </w:rPr>
  </w:style>
  <w:style w:type="paragraph" w:styleId="BalloonText">
    <w:name w:val="Balloon Text"/>
    <w:basedOn w:val="Normal"/>
    <w:link w:val="BalloonTextChar"/>
    <w:uiPriority w:val="99"/>
    <w:semiHidden/>
    <w:unhideWhenUsed/>
    <w:rsid w:val="00EA006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066"/>
    <w:rPr>
      <w:rFonts w:ascii="Segoe UI" w:hAnsi="Segoe UI" w:cs="Segoe UI"/>
      <w:sz w:val="18"/>
      <w:szCs w:val="18"/>
    </w:rPr>
  </w:style>
  <w:style w:type="table" w:styleId="TableGrid">
    <w:name w:val="Table Grid"/>
    <w:basedOn w:val="TableNormal"/>
    <w:uiPriority w:val="39"/>
    <w:rsid w:val="002807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mailto:alex.blenkush@hennepin.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5.png"/><Relationship Id="rId5" Type="http://schemas.openxmlformats.org/officeDocument/2006/relationships/image" Target="media/image1.png"/><Relationship Id="rId10" Type="http://schemas.openxmlformats.org/officeDocument/2006/relationships/hyperlink" Target="mailto:carrie.magnuson@rwmwd.org" TargetMode="External"/><Relationship Id="rId4" Type="http://schemas.openxmlformats.org/officeDocument/2006/relationships/webSettings" Target="webSettings.xml"/><Relationship Id="rId9" Type="http://schemas.openxmlformats.org/officeDocument/2006/relationships/hyperlink" Target="mailto:geoffrey.maas@co.ramsey.mn.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2</Pages>
  <Words>491</Words>
  <Characters>2802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Maas, Geoffrey</dc:creator>
  <cp:keywords/>
  <dc:description/>
  <cp:lastModifiedBy>Maas, Geoffrey</cp:lastModifiedBy>
  <cp:revision>4</cp:revision>
  <dcterms:created xsi:type="dcterms:W3CDTF">2020-04-01T12:46:00Z</dcterms:created>
  <dcterms:modified xsi:type="dcterms:W3CDTF">2020-04-07T13:56:00Z</dcterms:modified>
</cp:coreProperties>
</file>